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2</w:t>
      </w:r>
    </w:p>
    <w:p>
      <w:pPr>
        <w:pStyle w:val="2"/>
        <w:widowControl/>
        <w:jc w:val="center"/>
        <w:rPr>
          <w:rFonts w:hint="eastAsia" w:ascii="宋体" w:hAnsi="宋体" w:eastAsia="宋体" w:cs="宋体"/>
          <w:b/>
          <w:kern w:val="44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Calibri" w:hAnsi="Calibri" w:eastAsia="宋体" w:cs="Times New Roman"/>
          <w:b/>
          <w:kern w:val="44"/>
          <w:sz w:val="40"/>
          <w:szCs w:val="40"/>
        </w:rPr>
      </w:pPr>
      <w:r>
        <w:rPr>
          <w:rFonts w:hint="eastAsia" w:ascii="宋体" w:hAnsi="宋体" w:eastAsia="宋体" w:cs="宋体"/>
          <w:b/>
          <w:kern w:val="44"/>
          <w:sz w:val="40"/>
          <w:szCs w:val="40"/>
        </w:rPr>
        <w:t>中</w:t>
      </w:r>
      <w:r>
        <w:rPr>
          <w:rFonts w:hint="eastAsia" w:ascii="宋体" w:hAnsi="宋体" w:eastAsia="宋体" w:cs="宋体"/>
          <w:b/>
          <w:kern w:val="44"/>
          <w:sz w:val="40"/>
          <w:szCs w:val="40"/>
          <w:lang w:eastAsia="zh-CN"/>
        </w:rPr>
        <w:t>华</w:t>
      </w:r>
      <w:r>
        <w:rPr>
          <w:rFonts w:hint="eastAsia" w:ascii="宋体" w:hAnsi="宋体" w:eastAsia="宋体" w:cs="宋体"/>
          <w:b/>
          <w:kern w:val="44"/>
          <w:sz w:val="40"/>
          <w:szCs w:val="40"/>
        </w:rPr>
        <w:t>人民共和国供销合作行业标准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Calibri" w:hAnsi="Calibri" w:eastAsia="宋体" w:cs="Times New Roman"/>
          <w:b/>
          <w:kern w:val="44"/>
          <w:sz w:val="40"/>
          <w:szCs w:val="40"/>
        </w:rPr>
      </w:pPr>
      <w:r>
        <w:rPr>
          <w:rFonts w:hint="eastAsia" w:ascii="宋体" w:hAnsi="宋体" w:eastAsia="宋体" w:cs="宋体"/>
          <w:b/>
          <w:kern w:val="44"/>
          <w:sz w:val="40"/>
          <w:szCs w:val="40"/>
        </w:rPr>
        <w:t>《</w:t>
      </w:r>
      <w:r>
        <w:rPr>
          <w:rFonts w:hint="eastAsia" w:ascii="宋体" w:hAnsi="宋体" w:cs="宋体"/>
          <w:b/>
          <w:kern w:val="44"/>
          <w:sz w:val="40"/>
          <w:szCs w:val="40"/>
          <w:lang w:val="en-US" w:eastAsia="zh-CN"/>
        </w:rPr>
        <w:t>绵羊绒</w:t>
      </w:r>
      <w:r>
        <w:rPr>
          <w:rFonts w:hint="eastAsia" w:ascii="宋体" w:hAnsi="宋体" w:eastAsia="宋体" w:cs="宋体"/>
          <w:b/>
          <w:kern w:val="44"/>
          <w:sz w:val="40"/>
          <w:szCs w:val="40"/>
        </w:rPr>
        <w:t>交易技术指南》标准编制说明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eastAsia" w:ascii="宋体"/>
          <w:kern w:val="0"/>
          <w:sz w:val="24"/>
          <w:szCs w:val="28"/>
          <w:lang w:val="en-US" w:eastAsia="zh-CN"/>
        </w:rPr>
        <w:t>（征求意见</w:t>
      </w:r>
      <w:r>
        <w:rPr>
          <w:rFonts w:hint="eastAsia" w:ascii="宋体"/>
          <w:kern w:val="0"/>
          <w:sz w:val="24"/>
          <w:szCs w:val="28"/>
        </w:rPr>
        <w:t>稿</w:t>
      </w:r>
      <w:r>
        <w:rPr>
          <w:rFonts w:hint="eastAsia" w:ascii="宋体"/>
          <w:kern w:val="0"/>
          <w:sz w:val="24"/>
          <w:szCs w:val="28"/>
          <w:lang w:val="en-US" w:eastAsia="zh-CN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《</w:t>
      </w: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"/>
        </w:rPr>
        <w:t>绵羊绒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交易技术指南》标准起草工作组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二〇二</w:t>
      </w: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"/>
        </w:rPr>
        <w:t>四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"/>
        </w:rPr>
        <w:t>五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月</w:t>
      </w:r>
    </w:p>
    <w:p>
      <w:pPr>
        <w:pStyle w:val="2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jc w:val="left"/>
        <w:textAlignment w:val="auto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 w:cstheme="minorBidi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黑体" w:hAnsi="宋体" w:eastAsia="黑体"/>
          <w:sz w:val="24"/>
          <w:szCs w:val="24"/>
        </w:rPr>
        <w:t>工作简况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Chars="0"/>
        <w:jc w:val="left"/>
        <w:textAlignment w:val="auto"/>
        <w:rPr>
          <w:rFonts w:hint="eastAsia" w:ascii="黑体" w:hAnsi="宋体" w:eastAsia="黑体"/>
          <w:sz w:val="24"/>
          <w:szCs w:val="24"/>
        </w:rPr>
      </w:pP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440" w:lineRule="exact"/>
        <w:ind w:firstLineChars="0"/>
        <w:jc w:val="left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任务来源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24" w:firstLineChars="177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根据中华全国供销合作总社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办公厅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《中华全国供销合作总社办公厅关于下达2023年度供销合作社归口标准体系与行业品牌建设项目计划的通知》（供销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厅科社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[20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]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号）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第二批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号计划，计划号 2023GH-ZD-42，中国畜产品流通协会组织起草了《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绵羊绒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交易技术指南》标准。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440" w:lineRule="exact"/>
        <w:ind w:firstLineChars="0"/>
        <w:jc w:val="left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协作单位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24" w:firstLineChars="177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绵羊绒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交易技术指南》由中国畜产品流通协会提出并立项，由中华全国供销合作总社归口。本标准起草单位为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……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440" w:lineRule="exact"/>
        <w:ind w:firstLineChars="0"/>
        <w:jc w:val="left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主要工作过程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本标准在提出项目前进行了调研工作</w:t>
      </w:r>
      <w:r>
        <w:rPr>
          <w:rFonts w:hint="eastAsia"/>
          <w:sz w:val="24"/>
          <w:szCs w:val="24"/>
        </w:rPr>
        <w:t>，于</w:t>
      </w:r>
      <w:r>
        <w:rPr>
          <w:rFonts w:hint="eastAsia"/>
          <w:sz w:val="24"/>
          <w:szCs w:val="24"/>
          <w:lang w:val="en-US" w:eastAsia="zh-CN"/>
        </w:rPr>
        <w:t>2019年8月-2023年11月</w:t>
      </w:r>
      <w:r>
        <w:rPr>
          <w:rFonts w:hint="eastAsia"/>
          <w:sz w:val="24"/>
          <w:szCs w:val="24"/>
        </w:rPr>
        <w:t>对主要土种绵羊毛产区的原料市场进行了调研，调研的内容包括各地土种绵羊毛以及后续分梳成的绵羊绒的特点、国内土种绵羊毛的交易情况、交易方式，绵羊绒分梳企业设备、不同原料加工特点、加工能力的情况，以及绵羊</w:t>
      </w:r>
      <w:r>
        <w:rPr>
          <w:rFonts w:hint="eastAsia"/>
          <w:sz w:val="24"/>
          <w:szCs w:val="24"/>
          <w:lang w:val="en-US" w:eastAsia="zh-CN"/>
        </w:rPr>
        <w:t>绒</w:t>
      </w:r>
      <w:r>
        <w:rPr>
          <w:rFonts w:hint="eastAsia"/>
          <w:sz w:val="24"/>
          <w:szCs w:val="24"/>
        </w:rPr>
        <w:t>毛各项指标对最终产品的影响等。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12月-2024月1月</w:t>
      </w:r>
      <w:r>
        <w:rPr>
          <w:rFonts w:hint="eastAsia"/>
          <w:sz w:val="24"/>
          <w:szCs w:val="24"/>
        </w:rPr>
        <w:t>对起草单位收集的土种绵羊</w:t>
      </w:r>
      <w:r>
        <w:rPr>
          <w:rFonts w:hint="eastAsia"/>
          <w:sz w:val="24"/>
          <w:szCs w:val="24"/>
          <w:lang w:val="en-US" w:eastAsia="zh-CN"/>
        </w:rPr>
        <w:t>洗净</w:t>
      </w:r>
      <w:r>
        <w:rPr>
          <w:rFonts w:hint="eastAsia"/>
          <w:sz w:val="24"/>
          <w:szCs w:val="24"/>
        </w:rPr>
        <w:t>毛样品进行了分析，对其中的各项指标进行了统计，分析了各项指标分布情况，结合调研情况，以及后续分梳的绵羊绒产品的生产单位的使用情况，初步确定了指标数值。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-3月</w:t>
      </w:r>
      <w:r>
        <w:rPr>
          <w:rFonts w:hint="eastAsia"/>
          <w:sz w:val="24"/>
          <w:szCs w:val="24"/>
        </w:rPr>
        <w:t>完成标准初稿并进行了小组讨论，并征集了业内专家的意见，根据各方意见形成征求意见稿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jc w:val="left"/>
        <w:textAlignment w:val="auto"/>
        <w:rPr>
          <w:rFonts w:hint="eastAsia" w:ascii="黑体" w:eastAsia="黑体" w:cstheme="minorBidi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jc w:val="left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 w:cstheme="minorBidi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黑体" w:hAnsi="宋体" w:eastAsia="黑体"/>
          <w:sz w:val="24"/>
          <w:szCs w:val="24"/>
        </w:rPr>
        <w:t>标准制定的意义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175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土种绵羊毛为异质毛，无法进行纺纱，而经分梳后的绵羊绒为同质毛，可纺纱、织造。我国1984年开始利用绵羊绒，是世界上第一个开发</w:t>
      </w:r>
      <w:r>
        <w:rPr>
          <w:rFonts w:hint="eastAsia"/>
          <w:sz w:val="24"/>
          <w:szCs w:val="24"/>
          <w:lang w:val="en-US" w:eastAsia="zh-CN"/>
        </w:rPr>
        <w:t>土种</w:t>
      </w:r>
      <w:r>
        <w:rPr>
          <w:rFonts w:hint="eastAsia"/>
          <w:sz w:val="24"/>
          <w:szCs w:val="24"/>
        </w:rPr>
        <w:t>绵羊绒的国家。现在我国有五十个左右地方绵羊品种，养殖地区分布较为广泛，主要分布在内蒙古、新疆、青海、甘肃、陕西、山西、河北、黑龙江等地区，分梳绵羊绒年产量大概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万吨</w:t>
      </w:r>
      <w:r>
        <w:rPr>
          <w:rFonts w:hint="eastAsia"/>
          <w:sz w:val="24"/>
          <w:szCs w:val="24"/>
          <w:lang w:val="en-US" w:eastAsia="zh-CN"/>
        </w:rPr>
        <w:t>以上</w:t>
      </w:r>
      <w:r>
        <w:rPr>
          <w:rFonts w:hint="eastAsia"/>
          <w:sz w:val="24"/>
          <w:szCs w:val="24"/>
        </w:rPr>
        <w:t>，对促进地区经济发展、提高农牧民收入起到了至关重要的作用。经过三十余年的发展，我</w:t>
      </w:r>
      <w:r>
        <w:rPr>
          <w:rFonts w:hint="eastAsia"/>
          <w:sz w:val="24"/>
          <w:szCs w:val="24"/>
          <w:lang w:eastAsia="zh-CN"/>
        </w:rPr>
        <w:t>国</w:t>
      </w:r>
      <w:r>
        <w:rPr>
          <w:rFonts w:hint="eastAsia"/>
          <w:sz w:val="24"/>
          <w:szCs w:val="24"/>
        </w:rPr>
        <w:t>绵羊绒产业链完备，用其生产的制品主要有绵羊绒针织品、粗梳绵羊绒双面呢等。当前在</w:t>
      </w:r>
      <w:r>
        <w:rPr>
          <w:rFonts w:hint="eastAsia"/>
          <w:sz w:val="24"/>
          <w:szCs w:val="24"/>
          <w:lang w:val="en-US" w:eastAsia="zh-CN"/>
        </w:rPr>
        <w:t>全国大力推进新质生产力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情况</w:t>
      </w:r>
      <w:r>
        <w:rPr>
          <w:rFonts w:hint="eastAsia"/>
          <w:sz w:val="24"/>
          <w:szCs w:val="24"/>
        </w:rPr>
        <w:t>下，充分利用我国本土绵羊毛资源，增加绵羊绒附加值，提升土种绵羊</w:t>
      </w:r>
      <w:r>
        <w:rPr>
          <w:rFonts w:hint="eastAsia"/>
          <w:sz w:val="24"/>
          <w:szCs w:val="24"/>
          <w:lang w:val="en-US" w:eastAsia="zh-CN"/>
        </w:rPr>
        <w:t>绒</w:t>
      </w:r>
      <w:r>
        <w:rPr>
          <w:rFonts w:hint="eastAsia"/>
          <w:sz w:val="24"/>
          <w:szCs w:val="24"/>
        </w:rPr>
        <w:t>毛产业标准化和产业化水平则显得尤为重要。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4" w:firstLineChars="177"/>
        <w:textAlignment w:val="auto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我国</w:t>
      </w:r>
      <w:r>
        <w:rPr>
          <w:rFonts w:hint="eastAsia"/>
          <w:sz w:val="24"/>
          <w:szCs w:val="24"/>
          <w:lang w:val="en-US" w:eastAsia="zh-CN"/>
        </w:rPr>
        <w:t>绒</w:t>
      </w:r>
      <w:r>
        <w:rPr>
          <w:rFonts w:hint="eastAsia"/>
          <w:sz w:val="24"/>
          <w:szCs w:val="24"/>
        </w:rPr>
        <w:t>毛产业化经营相对滞后，全国</w:t>
      </w:r>
      <w:r>
        <w:rPr>
          <w:rFonts w:hint="eastAsia"/>
          <w:sz w:val="24"/>
          <w:szCs w:val="24"/>
          <w:lang w:val="en-US" w:eastAsia="zh-CN"/>
        </w:rPr>
        <w:t>绒</w:t>
      </w:r>
      <w:r>
        <w:rPr>
          <w:rFonts w:hint="eastAsia"/>
          <w:sz w:val="24"/>
          <w:szCs w:val="24"/>
        </w:rPr>
        <w:t>毛主产区分散着不同规模的羊毛交易集散地，大多小规模分散经营，工牧直接交易。土种绵羊毛收购价格偏低，养殖户饲养、剪毛管理粗放，收购点不区分品种、等级收购的现象较为普遍，这造成了绵羊</w:t>
      </w:r>
      <w:r>
        <w:rPr>
          <w:rFonts w:hint="eastAsia"/>
          <w:sz w:val="24"/>
          <w:szCs w:val="24"/>
          <w:lang w:val="en-US" w:eastAsia="zh-CN"/>
        </w:rPr>
        <w:t>绒</w:t>
      </w:r>
      <w:r>
        <w:rPr>
          <w:rFonts w:hint="eastAsia"/>
          <w:sz w:val="24"/>
          <w:szCs w:val="24"/>
        </w:rPr>
        <w:t>毛品质差异大，形成了较大批间差、批内差、包间差、包内差的特点。检测环节多为对分梳底绒的质量控制，不是包含从生产源头到加工到流通的全程质量检验体系，质量管理的经济效益难以在生产中体现。但到目前为止，我们国家尚缺乏能够支持绵羊绒产业化运作的统一协调的标准体系。众多生产加工企业反映生产、销售都无标可依，没有适应市场经济的现代化交易流通机制，这种情况给生产、贸易带来了很多不便，既不利于绵羊绒毛资源的有效利用，也影响了绵羊绒产业的持续健康发展。基于此，</w:t>
      </w:r>
      <w:r>
        <w:rPr>
          <w:rFonts w:hint="eastAsia" w:ascii="Times New Roman" w:hAnsi="Times New Roman"/>
          <w:kern w:val="0"/>
          <w:sz w:val="24"/>
          <w:szCs w:val="24"/>
        </w:rPr>
        <w:t>从行业的实际需求出发，以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行业</w:t>
      </w:r>
      <w:r>
        <w:rPr>
          <w:rFonts w:hint="eastAsia" w:ascii="Times New Roman" w:hAnsi="Times New Roman"/>
          <w:kern w:val="0"/>
          <w:sz w:val="24"/>
          <w:szCs w:val="24"/>
        </w:rPr>
        <w:t>标准的形式，制定满足市场需求的《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绵羊绒交易技术指南</w:t>
      </w:r>
      <w:r>
        <w:rPr>
          <w:rFonts w:hint="eastAsia" w:ascii="Times New Roman" w:hAnsi="Times New Roman"/>
          <w:kern w:val="0"/>
          <w:sz w:val="24"/>
          <w:szCs w:val="24"/>
        </w:rPr>
        <w:t>》标准，可以促进绵羊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绒</w:t>
      </w:r>
      <w:r>
        <w:rPr>
          <w:rFonts w:hint="eastAsia" w:ascii="Times New Roman" w:hAnsi="Times New Roman"/>
          <w:kern w:val="0"/>
          <w:sz w:val="24"/>
          <w:szCs w:val="24"/>
        </w:rPr>
        <w:t>毛的利用，带动地方经济，并确保行业的健康发展。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4" w:firstLineChars="177"/>
        <w:textAlignment w:val="auto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jc w:val="left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 w:cstheme="minorBidi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黑体" w:eastAsia="黑体"/>
          <w:sz w:val="24"/>
          <w:szCs w:val="24"/>
        </w:rPr>
        <w:t>标准编制原则</w:t>
      </w:r>
    </w:p>
    <w:p>
      <w:pPr>
        <w:pStyle w:val="5"/>
        <w:keepNext w:val="0"/>
        <w:keepLines w:val="0"/>
        <w:pageBreakBefore w:val="0"/>
        <w:numPr>
          <w:ilvl w:val="1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在制定该</w:t>
      </w:r>
      <w:r>
        <w:rPr>
          <w:rFonts w:hint="eastAsia"/>
          <w:sz w:val="24"/>
          <w:szCs w:val="24"/>
          <w:lang w:val="en-US" w:eastAsia="zh-CN"/>
        </w:rPr>
        <w:t>行业</w:t>
      </w:r>
      <w:r>
        <w:rPr>
          <w:rFonts w:hint="eastAsia"/>
          <w:sz w:val="24"/>
          <w:szCs w:val="24"/>
        </w:rPr>
        <w:t>标准时，遵循的原则是根据产品的实际情况确定适合的要求，使其操作简单、内</w:t>
      </w:r>
      <w:r>
        <w:rPr>
          <w:rFonts w:hint="eastAsia" w:ascii="宋体" w:hAnsi="宋体" w:cs="宋体"/>
          <w:sz w:val="24"/>
          <w:szCs w:val="24"/>
        </w:rPr>
        <w:t>容合理、适用性强，并努力提升标准水平。</w:t>
      </w:r>
    </w:p>
    <w:p>
      <w:pPr>
        <w:pStyle w:val="5"/>
        <w:keepNext w:val="0"/>
        <w:keepLines w:val="0"/>
        <w:pageBreakBefore w:val="0"/>
        <w:numPr>
          <w:ilvl w:val="1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jc w:val="left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注重与其他相关标准的协调一致性。</w:t>
      </w:r>
    </w:p>
    <w:p>
      <w:pPr>
        <w:pStyle w:val="5"/>
        <w:keepNext w:val="0"/>
        <w:keepLines w:val="0"/>
        <w:pageBreakBefore w:val="0"/>
        <w:numPr>
          <w:ilvl w:val="1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jc w:val="left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编写格式按照 GB/T 1.1-2020 《标准化工作导则第1部分：标准化文件的结构和起草规则》进行编写</w:t>
      </w:r>
      <w:r>
        <w:rPr>
          <w:rFonts w:hint="eastAsia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Chars="0"/>
        <w:jc w:val="left"/>
        <w:textAlignment w:val="auto"/>
        <w:rPr>
          <w:rFonts w:ascii="宋体" w:cs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jc w:val="left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 w:cstheme="minorBidi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主要内容说明</w:t>
      </w:r>
    </w:p>
    <w:p>
      <w:pPr>
        <w:pStyle w:val="5"/>
        <w:keepNext w:val="0"/>
        <w:keepLines w:val="0"/>
        <w:pageBreakBefore w:val="0"/>
        <w:numPr>
          <w:ilvl w:val="1"/>
          <w:numId w:val="4"/>
        </w:numPr>
        <w:tabs>
          <w:tab w:val="left" w:pos="0"/>
          <w:tab w:val="left" w:pos="403"/>
          <w:tab w:val="clear" w:pos="78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</w:rPr>
        <w:t>适用范围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4" w:firstLineChars="202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本标准规定了</w:t>
      </w:r>
      <w:r>
        <w:rPr>
          <w:rFonts w:hint="eastAsia"/>
          <w:sz w:val="24"/>
          <w:szCs w:val="24"/>
          <w:lang w:val="en-US" w:eastAsia="zh-CN"/>
        </w:rPr>
        <w:t>绵羊绒</w:t>
      </w:r>
      <w:r>
        <w:rPr>
          <w:rFonts w:hint="eastAsia"/>
          <w:sz w:val="24"/>
          <w:szCs w:val="24"/>
        </w:rPr>
        <w:t>的术语和定义、产（商）品分类、技术指标、验货检验要求、包装、标志、储存、运输的要求。本标准适用于</w:t>
      </w:r>
      <w:r>
        <w:rPr>
          <w:rFonts w:hint="eastAsia"/>
          <w:sz w:val="24"/>
          <w:szCs w:val="24"/>
          <w:lang w:val="en-US" w:eastAsia="zh-CN"/>
        </w:rPr>
        <w:t>绵羊绒</w:t>
      </w:r>
      <w:r>
        <w:rPr>
          <w:rFonts w:hint="eastAsia"/>
          <w:sz w:val="24"/>
          <w:szCs w:val="24"/>
        </w:rPr>
        <w:t>的交易。</w:t>
      </w:r>
    </w:p>
    <w:p>
      <w:pPr>
        <w:pStyle w:val="5"/>
        <w:keepNext w:val="0"/>
        <w:keepLines w:val="0"/>
        <w:pageBreakBefore w:val="0"/>
        <w:numPr>
          <w:ilvl w:val="1"/>
          <w:numId w:val="4"/>
        </w:numPr>
        <w:tabs>
          <w:tab w:val="left" w:pos="0"/>
          <w:tab w:val="left" w:pos="403"/>
          <w:tab w:val="clear" w:pos="78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规范性引用文件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根据本标准的技术需求，规定了规范性引用文件。</w:t>
      </w:r>
    </w:p>
    <w:p>
      <w:pPr>
        <w:pStyle w:val="5"/>
        <w:keepNext w:val="0"/>
        <w:keepLines w:val="0"/>
        <w:pageBreakBefore w:val="0"/>
        <w:numPr>
          <w:ilvl w:val="1"/>
          <w:numId w:val="4"/>
        </w:numPr>
        <w:tabs>
          <w:tab w:val="left" w:pos="0"/>
          <w:tab w:val="left" w:pos="403"/>
          <w:tab w:val="clear" w:pos="78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术语和定义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根据本标准需要，并依据行业内的普遍习惯，规定了</w:t>
      </w:r>
      <w:r>
        <w:rPr>
          <w:rFonts w:hint="eastAsia"/>
          <w:sz w:val="24"/>
          <w:szCs w:val="24"/>
          <w:lang w:val="en-US" w:eastAsia="zh-CN"/>
        </w:rPr>
        <w:t>绵羊绒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粗毛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含粗率、含杂率</w:t>
      </w:r>
      <w:r>
        <w:rPr>
          <w:rFonts w:hint="eastAsia"/>
          <w:sz w:val="24"/>
          <w:szCs w:val="24"/>
        </w:rPr>
        <w:t>、净绒率、</w:t>
      </w:r>
      <w:r>
        <w:rPr>
          <w:rFonts w:hint="eastAsia"/>
          <w:sz w:val="24"/>
          <w:szCs w:val="24"/>
          <w:lang w:val="en-US" w:eastAsia="zh-CN"/>
        </w:rPr>
        <w:t>异色纤维和短绒率</w:t>
      </w:r>
      <w:r>
        <w:rPr>
          <w:rFonts w:hint="eastAsia"/>
          <w:sz w:val="24"/>
          <w:szCs w:val="24"/>
        </w:rPr>
        <w:t>的定义。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pStyle w:val="5"/>
        <w:keepNext w:val="0"/>
        <w:keepLines w:val="0"/>
        <w:pageBreakBefore w:val="0"/>
        <w:numPr>
          <w:ilvl w:val="1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产品分类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根据前期调研及行业内专家意见，规定了</w:t>
      </w:r>
      <w:r>
        <w:rPr>
          <w:rFonts w:hint="eastAsia"/>
          <w:sz w:val="24"/>
          <w:szCs w:val="24"/>
          <w:lang w:val="en-US" w:eastAsia="zh-CN"/>
        </w:rPr>
        <w:t>绵羊绒</w:t>
      </w:r>
      <w:r>
        <w:rPr>
          <w:rFonts w:hint="eastAsia"/>
          <w:sz w:val="24"/>
          <w:szCs w:val="24"/>
        </w:rPr>
        <w:t>的天然颜色划分为白色、青色、紫色，并给出了字母表示以及外观特征描述。</w:t>
      </w:r>
    </w:p>
    <w:p>
      <w:pPr>
        <w:pStyle w:val="5"/>
        <w:keepNext w:val="0"/>
        <w:keepLines w:val="0"/>
        <w:pageBreakBefore w:val="0"/>
        <w:numPr>
          <w:ilvl w:val="1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技术指标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本标准旨在充分利用我国绵羊毛资源，增加绵羊绒附加值，提升绵羊</w:t>
      </w:r>
      <w:r>
        <w:rPr>
          <w:rFonts w:hint="eastAsia"/>
          <w:sz w:val="24"/>
          <w:szCs w:val="24"/>
          <w:lang w:val="en-US" w:eastAsia="zh-CN"/>
        </w:rPr>
        <w:t>绒</w:t>
      </w:r>
      <w:r>
        <w:rPr>
          <w:rFonts w:hint="eastAsia"/>
          <w:sz w:val="24"/>
          <w:szCs w:val="24"/>
        </w:rPr>
        <w:t xml:space="preserve">毛产业标准化和产业化水平，所以用分梳后的绵羊绒品质进行标识。参数表示为: </w:t>
      </w:r>
      <w:r>
        <w:rPr>
          <w:rFonts w:hint="eastAsia"/>
          <w:sz w:val="24"/>
          <w:szCs w:val="24"/>
          <w:lang w:val="en-US" w:eastAsia="zh-CN"/>
        </w:rPr>
        <w:t>D</w:t>
      </w:r>
      <w:r>
        <w:rPr>
          <w:rFonts w:hint="eastAsia"/>
          <w:sz w:val="24"/>
          <w:szCs w:val="24"/>
        </w:rPr>
        <w:t>X-XXXXX ，分别为</w:t>
      </w:r>
      <w:r>
        <w:rPr>
          <w:rFonts w:hint="eastAsia"/>
          <w:sz w:val="24"/>
          <w:szCs w:val="24"/>
          <w:lang w:val="en-US" w:eastAsia="zh-CN"/>
        </w:rPr>
        <w:t>绵羊绒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品种和</w:t>
      </w:r>
      <w:r>
        <w:rPr>
          <w:rFonts w:hint="eastAsia"/>
          <w:sz w:val="24"/>
          <w:szCs w:val="24"/>
        </w:rPr>
        <w:t>颜色、</w:t>
      </w:r>
      <w:r>
        <w:rPr>
          <w:rFonts w:hint="eastAsia" w:ascii="宋体" w:hAnsi="宋体"/>
          <w:sz w:val="24"/>
          <w:szCs w:val="24"/>
        </w:rPr>
        <w:t>平均直径、直径变异系数、平均长度、短绒率（15 mm及以下）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含粗率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品种以D表示，</w:t>
      </w:r>
      <w:r>
        <w:rPr>
          <w:rFonts w:hint="eastAsia" w:ascii="宋体" w:hAnsi="宋体"/>
          <w:sz w:val="24"/>
          <w:szCs w:val="24"/>
        </w:rPr>
        <w:t>颜色以字母表示，平均直径、直径变异系数、平均长度、短绒率（15 mm及以下）和</w:t>
      </w:r>
      <w:r>
        <w:rPr>
          <w:rFonts w:hint="eastAsia" w:ascii="宋体" w:hAnsi="宋体"/>
          <w:sz w:val="24"/>
          <w:szCs w:val="24"/>
          <w:lang w:val="en-US" w:eastAsia="zh-CN"/>
        </w:rPr>
        <w:t>含粗率</w:t>
      </w:r>
      <w:r>
        <w:rPr>
          <w:rFonts w:hint="eastAsia" w:ascii="宋体" w:hAnsi="宋体"/>
          <w:sz w:val="24"/>
          <w:szCs w:val="24"/>
        </w:rPr>
        <w:t>均以0-9的数字表示。数字与相关指标的对应表见下。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680"/>
        <w:gridCol w:w="660"/>
        <w:gridCol w:w="712"/>
        <w:gridCol w:w="571"/>
        <w:gridCol w:w="712"/>
        <w:gridCol w:w="678"/>
        <w:gridCol w:w="605"/>
        <w:gridCol w:w="677"/>
        <w:gridCol w:w="607"/>
        <w:gridCol w:w="673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限度</w:t>
            </w:r>
          </w:p>
        </w:tc>
        <w:tc>
          <w:tcPr>
            <w:tcW w:w="6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范围要求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平均直径（</w:t>
            </w:r>
            <w:r>
              <w:rPr>
                <w:rFonts w:ascii="宋体"/>
                <w:sz w:val="24"/>
                <w:szCs w:val="24"/>
              </w:rPr>
              <w:t>µ</w:t>
            </w:r>
            <w:r>
              <w:rPr>
                <w:rFonts w:hint="eastAsia" w:ascii="宋体" w:hAnsi="宋体"/>
                <w:sz w:val="24"/>
                <w:szCs w:val="24"/>
              </w:rPr>
              <w:t>m）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21.00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19.50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18.50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18.00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17.00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＜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22.00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20.00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19.50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18.50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18.00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直径变异系数（%）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28.00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23.00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22.00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21.00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＜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30.00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26.</w:t>
            </w:r>
            <w:r>
              <w:rPr>
                <w:rFonts w:hint="eastAsia" w:ascii="宋体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23.00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22.00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平均长度（mm）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＜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36.00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短绒率（%）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（15 mm及以下）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＜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  <w:r>
              <w:rPr>
                <w:rFonts w:hint="eastAsia" w:ascii="宋体"/>
                <w:sz w:val="24"/>
                <w:szCs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含粗</w:t>
            </w:r>
            <w:r>
              <w:rPr>
                <w:rFonts w:hint="eastAsia" w:ascii="宋体" w:hAnsi="宋体"/>
                <w:sz w:val="24"/>
                <w:szCs w:val="24"/>
              </w:rPr>
              <w:t>率/</w:t>
            </w:r>
            <w:r>
              <w:rPr>
                <w:rFonts w:ascii="宋体" w:hAnsi="宋体"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3.00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1.50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1.20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1.00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0.80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0.60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0.50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＜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4.00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3.00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2.00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1.50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1.20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1.00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0.80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0.60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参数表示数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-59" w:leftChars="-28" w:right="-124" w:rightChars="-59" w:firstLine="7" w:firstLineChars="3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标准起草工作组</w:t>
      </w:r>
      <w:r>
        <w:rPr>
          <w:rFonts w:hint="eastAsia"/>
          <w:sz w:val="24"/>
          <w:szCs w:val="24"/>
        </w:rPr>
        <w:t>收集了</w:t>
      </w:r>
      <w:r>
        <w:rPr>
          <w:rFonts w:hint="eastAsia"/>
          <w:sz w:val="24"/>
          <w:szCs w:val="24"/>
          <w:lang w:val="en-US" w:eastAsia="zh-CN"/>
        </w:rPr>
        <w:t>绵羊绒</w:t>
      </w:r>
      <w:r>
        <w:rPr>
          <w:rFonts w:hint="eastAsia"/>
          <w:sz w:val="24"/>
          <w:szCs w:val="24"/>
        </w:rPr>
        <w:t>的样品对</w:t>
      </w:r>
      <w:r>
        <w:rPr>
          <w:rFonts w:hint="eastAsia" w:ascii="宋体" w:hAnsi="宋体"/>
          <w:sz w:val="24"/>
          <w:szCs w:val="24"/>
        </w:rPr>
        <w:t>平均直径、直径变异系数、平均长度、短绒率（15 mm及以下）做了对比分析。见下表。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jc w:val="center"/>
        <w:textAlignment w:val="auto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纤维直径分布</w:t>
      </w:r>
    </w:p>
    <w:tbl>
      <w:tblPr>
        <w:tblStyle w:val="3"/>
        <w:tblW w:w="6804" w:type="dxa"/>
        <w:tblInd w:w="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直径范围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最小17.96μm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</w:t>
            </w:r>
            <w:r>
              <w:rPr>
                <w:sz w:val="24"/>
                <w:szCs w:val="24"/>
              </w:rPr>
              <w:t>20.77μm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17.00</w:t>
            </w:r>
            <w:r>
              <w:rPr>
                <w:rFonts w:ascii="Times New Roman" w:hAnsi="Times New Roman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 xml:space="preserve">m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 xml:space="preserve">m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18.50</w:t>
            </w:r>
            <w:r>
              <w:rPr>
                <w:rFonts w:ascii="Times New Roman" w:hAnsi="Times New Roman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18.50</w:t>
            </w:r>
            <w:r>
              <w:rPr>
                <w:rFonts w:ascii="Times New Roman" w:hAnsi="Times New Roman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 xml:space="preserve">m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19.00</w:t>
            </w:r>
            <w:r>
              <w:rPr>
                <w:rFonts w:ascii="Times New Roman" w:hAnsi="Times New Roman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19.00</w:t>
            </w:r>
            <w:r>
              <w:rPr>
                <w:rFonts w:ascii="Times New Roman" w:hAnsi="Times New Roman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 xml:space="preserve">m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19.50</w:t>
            </w:r>
            <w:r>
              <w:rPr>
                <w:rFonts w:ascii="Times New Roman" w:hAnsi="Times New Roman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19.50</w:t>
            </w:r>
            <w:r>
              <w:rPr>
                <w:rFonts w:ascii="Times New Roman" w:hAnsi="Times New Roman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 xml:space="preserve">m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20.00</w:t>
            </w:r>
            <w:r>
              <w:rPr>
                <w:rFonts w:ascii="Times New Roman" w:hAnsi="Times New Roman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20.00</w:t>
            </w:r>
            <w:r>
              <w:rPr>
                <w:rFonts w:ascii="Times New Roman" w:hAnsi="Times New Roman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 xml:space="preserve">m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21.00</w:t>
            </w:r>
            <w:r>
              <w:rPr>
                <w:rFonts w:ascii="Times New Roman" w:hAnsi="Times New Roman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jc w:val="center"/>
        <w:textAlignment w:val="auto"/>
        <w:rPr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直径变异系数分布</w:t>
      </w:r>
      <w:r>
        <w:rPr>
          <w:sz w:val="24"/>
          <w:szCs w:val="24"/>
        </w:rPr>
        <w:t xml:space="preserve">             </w:t>
      </w:r>
    </w:p>
    <w:tbl>
      <w:tblPr>
        <w:tblStyle w:val="3"/>
        <w:tblW w:w="6804" w:type="dxa"/>
        <w:tblInd w:w="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变异系数范围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最小</w:t>
            </w:r>
            <w:r>
              <w:rPr>
                <w:sz w:val="24"/>
                <w:szCs w:val="24"/>
              </w:rPr>
              <w:t>23.96%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</w:t>
            </w:r>
            <w:r>
              <w:rPr>
                <w:sz w:val="24"/>
                <w:szCs w:val="24"/>
              </w:rPr>
              <w:t>33.87%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23.00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24.00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24.00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26.00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26.00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28.00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28.00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30.00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30.00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32.00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32.00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35.00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jc w:val="center"/>
        <w:textAlignment w:val="auto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平均长度分布</w:t>
      </w:r>
    </w:p>
    <w:tbl>
      <w:tblPr>
        <w:tblStyle w:val="3"/>
        <w:tblW w:w="6804" w:type="dxa"/>
        <w:tblInd w:w="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平均长度范围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</w:t>
            </w:r>
            <w:r>
              <w:rPr>
                <w:sz w:val="24"/>
                <w:szCs w:val="24"/>
              </w:rPr>
              <w:t>33.87mm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最小</w:t>
            </w:r>
            <w:r>
              <w:rPr>
                <w:sz w:val="24"/>
                <w:szCs w:val="24"/>
              </w:rPr>
              <w:t>25.80mm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32.0mm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34.0mm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30.0mm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32.0mm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28.0mm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30.0mm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26.0mm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28.0mm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24.0mm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26.0mm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jc w:val="center"/>
        <w:textAlignment w:val="auto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15mm以下短绒率分布</w:t>
      </w:r>
    </w:p>
    <w:tbl>
      <w:tblPr>
        <w:tblStyle w:val="3"/>
        <w:tblW w:w="6804" w:type="dxa"/>
        <w:tblInd w:w="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短绒率范围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最小</w:t>
            </w:r>
            <w:r>
              <w:rPr>
                <w:sz w:val="24"/>
                <w:szCs w:val="24"/>
              </w:rPr>
              <w:t>16.34%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</w:t>
            </w:r>
            <w:r>
              <w:rPr>
                <w:sz w:val="24"/>
                <w:szCs w:val="24"/>
              </w:rPr>
              <w:t>27.67%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16.00%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18.00%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18.00%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20.00%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20.00%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22.00%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22.00%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24.00%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24.00%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25.00%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25.00%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26.00%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26.00%    </w:t>
            </w:r>
            <w:r>
              <w:rPr>
                <w:rFonts w:hint="eastAsia"/>
                <w:sz w:val="24"/>
                <w:szCs w:val="24"/>
              </w:rPr>
              <w:t>＜</w:t>
            </w:r>
            <w:r>
              <w:rPr>
                <w:sz w:val="24"/>
                <w:szCs w:val="24"/>
              </w:rPr>
              <w:t>30.00%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rPr>
          <w:sz w:val="24"/>
          <w:szCs w:val="24"/>
        </w:rPr>
      </w:pPr>
    </w:p>
    <w:p>
      <w:pPr>
        <w:pStyle w:val="5"/>
        <w:keepNext w:val="0"/>
        <w:keepLines w:val="0"/>
        <w:pageBreakBefore w:val="0"/>
        <w:numPr>
          <w:ilvl w:val="2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平均直径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细度指标的表示数18μ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～20μ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之间以0.5μ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间距为一档，18μ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以下、20μ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以上以1μ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间距为一档（外侧两档范围是开放的，下面指标同此）。用数字0～9表示共分为十档，指标的表示数从低到高，表示细度越来越细，纤维的品质越来越好。中间部分以0.5μ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间距分档主要是考虑到大部分分梳的绵羊绒纤维的细度在18μ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～20μ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之间，约占收集样品的63% 以上。标准起草</w:t>
      </w:r>
      <w:r>
        <w:rPr>
          <w:rFonts w:hint="eastAsia" w:ascii="宋体" w:hAnsi="宋体"/>
          <w:sz w:val="24"/>
          <w:szCs w:val="24"/>
          <w:lang w:eastAsia="zh-CN"/>
        </w:rPr>
        <w:t>小</w:t>
      </w:r>
      <w:r>
        <w:rPr>
          <w:rFonts w:hint="eastAsia" w:ascii="宋体" w:hAnsi="宋体"/>
          <w:sz w:val="24"/>
          <w:szCs w:val="24"/>
        </w:rPr>
        <w:t>组收集样品主要是内蒙古、宁夏和甘肃的样品，考虑到收集样品的局限性，我国其他地区绵羊绒的品质间的差异性，分档时也要兼顾，在小于18μ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和大于20μ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的部分分档的间隔稍大，并且对大于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μ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小于</w:t>
      </w:r>
      <w:r>
        <w:rPr>
          <w:rFonts w:ascii="宋体" w:hAnsi="宋体"/>
          <w:sz w:val="24"/>
          <w:szCs w:val="24"/>
        </w:rPr>
        <w:t>16</w:t>
      </w:r>
      <w:r>
        <w:rPr>
          <w:rFonts w:hint="eastAsia" w:ascii="宋体" w:hAnsi="宋体"/>
          <w:sz w:val="24"/>
          <w:szCs w:val="24"/>
        </w:rPr>
        <w:t>μ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的绵羊绒也涵盖在本分级技术要求中。</w:t>
      </w:r>
    </w:p>
    <w:p>
      <w:pPr>
        <w:pStyle w:val="5"/>
        <w:keepNext w:val="0"/>
        <w:keepLines w:val="0"/>
        <w:pageBreakBefore w:val="0"/>
        <w:numPr>
          <w:ilvl w:val="2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直径变异系数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纤维直径变异系数指标代表了同一批次中纤维细度的离散程度，如果同一批次中分梳后的绵羊绒纤维细度之间的差异小，则离散程度小，细度的均匀度好。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践证明，细度离散程度对纤维成纱后的条干和产品外观有影响，细度离散程度小的纱线条干均匀度好，产品外观平整。纤维直径变异系数在绵羊绒原料的交易中原来是不太被注意的指标，但由于对产品成品品质的影响较大，可以预见今后会被买家越来越重视，所以标准起草</w:t>
      </w:r>
      <w:r>
        <w:rPr>
          <w:rFonts w:hint="eastAsia" w:ascii="宋体" w:hAnsi="宋体"/>
          <w:sz w:val="24"/>
          <w:szCs w:val="24"/>
          <w:lang w:eastAsia="zh-CN"/>
        </w:rPr>
        <w:t>小</w:t>
      </w:r>
      <w:r>
        <w:rPr>
          <w:rFonts w:hint="eastAsia" w:ascii="宋体" w:hAnsi="宋体"/>
          <w:sz w:val="24"/>
          <w:szCs w:val="24"/>
        </w:rPr>
        <w:t>组把这一指标的加入到评级的范围中，希望能起到引导的作用。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纤维直径变异系数指标的表示数的表示数24 %～32 %之间以2 %间距为一档，32 %～35 %之间以3 %间距为一档，21 %～24 %之间以1 %间距为一档。用数字0-9表示共分为十档，表示数越大，品质越好。统计数字表明纤维直径变异系数大部分在 26 %～32 %。</w:t>
      </w:r>
    </w:p>
    <w:p>
      <w:pPr>
        <w:pStyle w:val="5"/>
        <w:keepNext w:val="0"/>
        <w:keepLines w:val="0"/>
        <w:pageBreakBefore w:val="0"/>
        <w:numPr>
          <w:ilvl w:val="2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纤维平均长度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目前国内使用最多的是手排长度，能比较客观反映纤维的实际长度，同时可以计算出长度的离散系数和短绒率（15mm及以下），缺点是对操作手法的要求较高，造成结果差异大，要实验人员有较丰富的经验。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长度指标是绵羊绒纤维的一个重要指标，长度短的纤维在制成成品后影响织物的品质，是造成织物的起球的重要原因之一。长度短的纤维在生产加工中还会造成纤维的可纺性差，所纺纱线支数低，制成率低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纤维平均长度指标的表示数22 mm～34 mm之间以 2 mm间距为一档，34 mm以上部分以 1 mm间距为一档。用数字0～9表示共分为十档，表示数字越大长度越长。</w:t>
      </w:r>
    </w:p>
    <w:p>
      <w:pPr>
        <w:pStyle w:val="5"/>
        <w:keepNext w:val="0"/>
        <w:keepLines w:val="0"/>
        <w:pageBreakBefore w:val="0"/>
        <w:numPr>
          <w:ilvl w:val="2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纤维短绒率（15mm以下）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纤维短绒率指标的表示数14 %～24 %之间以2 %间隔分档，24 %～26%之间以1 %间隔分档，26 %～30 %之间以4 %间隔分档，用数字0～9表示，共分为十档，表示数越大短绒率越小。短绒率指标对产品的影响主要是对可纺性的影响，短绒率造成高纺纱的制成率低，所纺纱支数低，制作产品局限性大，影响生产产品的外观，最终影响到产品的售价和企业的收益。</w:t>
      </w:r>
    </w:p>
    <w:p>
      <w:pPr>
        <w:pStyle w:val="5"/>
        <w:keepNext w:val="0"/>
        <w:keepLines w:val="0"/>
        <w:pageBreakBefore w:val="0"/>
        <w:numPr>
          <w:ilvl w:val="1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验货检验要求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spacing w:line="440" w:lineRule="exact"/>
        <w:ind w:lef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规定了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绵羊绒</w:t>
      </w:r>
      <w:r>
        <w:rPr>
          <w:rFonts w:hint="eastAsia" w:ascii="宋体" w:hAnsi="宋体" w:eastAsia="宋体"/>
          <w:sz w:val="24"/>
          <w:szCs w:val="24"/>
        </w:rPr>
        <w:t>验收可通过第一方、第二方或第三方质检机构进行质量检验。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绵羊绒</w:t>
      </w:r>
      <w:r>
        <w:rPr>
          <w:rFonts w:hint="eastAsia" w:ascii="宋体" w:hAnsi="宋体" w:eastAsia="宋体"/>
          <w:sz w:val="24"/>
          <w:szCs w:val="24"/>
        </w:rPr>
        <w:t>的试验方法见附录A。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绵羊绒</w:t>
      </w:r>
      <w:r>
        <w:rPr>
          <w:rFonts w:hint="eastAsia" w:ascii="宋体" w:hAnsi="宋体" w:eastAsia="宋体"/>
          <w:sz w:val="24"/>
          <w:szCs w:val="24"/>
        </w:rPr>
        <w:t>的检验证书内容包括产（商）品名称、颜色、批号、包数、质量、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加工单位</w:t>
      </w:r>
      <w:r>
        <w:rPr>
          <w:rFonts w:hint="eastAsia" w:ascii="宋体" w:hAnsi="宋体" w:eastAsia="宋体"/>
          <w:sz w:val="24"/>
          <w:szCs w:val="24"/>
        </w:rPr>
        <w:t>、检验项目及检验结果。</w:t>
      </w:r>
    </w:p>
    <w:p>
      <w:pPr>
        <w:pStyle w:val="5"/>
        <w:keepNext w:val="0"/>
        <w:keepLines w:val="0"/>
        <w:pageBreakBefore w:val="0"/>
        <w:numPr>
          <w:ilvl w:val="1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包装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spacing w:line="440" w:lineRule="exact"/>
        <w:ind w:leftChars="0" w:firstLine="480" w:firstLineChars="20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包装应使用通风、透气的材料，不应使用有损品质的包装物，如不应使用丙纶包装袋等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。成包时应包装完整，各包质量相当，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保证纤维不受损伤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。不同颜色类别的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绵羊绒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应分开单独包装。</w:t>
      </w:r>
    </w:p>
    <w:p>
      <w:pPr>
        <w:pStyle w:val="5"/>
        <w:keepNext w:val="0"/>
        <w:keepLines w:val="0"/>
        <w:pageBreakBefore w:val="0"/>
        <w:numPr>
          <w:ilvl w:val="1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标志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spacing w:line="440" w:lineRule="exact"/>
        <w:ind w:leftChars="0"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</w:rPr>
        <w:t>规定了</w:t>
      </w:r>
      <w:r>
        <w:rPr>
          <w:rFonts w:hint="eastAsia" w:ascii="宋体" w:hAnsi="宋体" w:eastAsia="宋体"/>
          <w:sz w:val="24"/>
          <w:szCs w:val="24"/>
        </w:rPr>
        <w:t>成包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绵羊绒</w:t>
      </w:r>
      <w:r>
        <w:rPr>
          <w:rFonts w:hint="eastAsia" w:ascii="宋体" w:hAnsi="宋体" w:eastAsia="宋体"/>
          <w:sz w:val="24"/>
          <w:szCs w:val="24"/>
        </w:rPr>
        <w:t>，每包应有标志，标志的字迹应醒目、清晰、持久。标志应包括产（商）品名称、产地、颜色、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毛重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净重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包号、交货单位、成包日期。标志内容也可包括本文件编号和采用本文件显示该批次的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绵羊绒</w:t>
      </w:r>
      <w:r>
        <w:rPr>
          <w:rFonts w:hint="eastAsia" w:ascii="宋体" w:hAnsi="宋体" w:eastAsia="宋体"/>
          <w:sz w:val="24"/>
          <w:szCs w:val="24"/>
        </w:rPr>
        <w:t>品质参数代码。</w:t>
      </w:r>
    </w:p>
    <w:p>
      <w:pPr>
        <w:pStyle w:val="5"/>
        <w:keepNext w:val="0"/>
        <w:keepLines w:val="0"/>
        <w:pageBreakBefore w:val="0"/>
        <w:numPr>
          <w:ilvl w:val="1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储存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spacing w:line="440" w:lineRule="exact"/>
        <w:ind w:leftChars="0"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绵羊绒</w:t>
      </w:r>
      <w:r>
        <w:rPr>
          <w:rFonts w:hint="eastAsia" w:ascii="宋体" w:hAnsi="宋体" w:eastAsia="宋体"/>
          <w:sz w:val="24"/>
          <w:szCs w:val="24"/>
        </w:rPr>
        <w:t>储存条件应通风、防潮、防火、防水，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绒包</w:t>
      </w:r>
      <w:r>
        <w:rPr>
          <w:rFonts w:hint="eastAsia" w:ascii="宋体" w:hAnsi="宋体" w:eastAsia="宋体"/>
          <w:sz w:val="24"/>
          <w:szCs w:val="24"/>
        </w:rPr>
        <w:t>不应与地面直接接触，不应被污染，有条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件的可在恒温、恒湿的库房内储存。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绵羊绒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以批为单位堆放，将刷有唛头的包面朝外整齐排列。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绵羊绒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堆放处的垛底宜放置适量</w:t>
      </w:r>
      <w:r>
        <w:rPr>
          <w:rFonts w:hint="eastAsia" w:ascii="宋体" w:hAnsi="宋体" w:eastAsia="宋体"/>
          <w:sz w:val="24"/>
          <w:szCs w:val="24"/>
        </w:rPr>
        <w:t>的环保型防虫剂</w:t>
      </w:r>
      <w:r>
        <w:rPr>
          <w:rFonts w:hint="eastAsia" w:ascii="宋体" w:hAnsi="宋体" w:eastAsia="宋体"/>
          <w:kern w:val="2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numPr>
          <w:ilvl w:val="1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运输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spacing w:line="440" w:lineRule="exact"/>
        <w:ind w:lef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</w:rPr>
        <w:t>规定了</w:t>
      </w:r>
      <w:r>
        <w:rPr>
          <w:rFonts w:hint="eastAsia" w:ascii="宋体" w:hAnsi="宋体" w:eastAsia="宋体"/>
          <w:sz w:val="24"/>
          <w:szCs w:val="24"/>
        </w:rPr>
        <w:t>运输工具应具备洁净、防腐、防潮、防包装破裂损伤的条件。运输过程中应保持货证同行；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绵羊绒</w:t>
      </w:r>
      <w:r>
        <w:rPr>
          <w:rFonts w:hint="eastAsia" w:ascii="宋体" w:hAnsi="宋体" w:eastAsia="宋体"/>
          <w:sz w:val="24"/>
          <w:szCs w:val="24"/>
        </w:rPr>
        <w:t>不应被污染，不应使用有损包装的器械进行装卸。在中转环节，交易双方不应更改包装、标志，不应伪造、变更检验证明</w:t>
      </w:r>
      <w:r>
        <w:rPr>
          <w:rFonts w:hint="eastAsia" w:ascii="宋体" w:hAnsi="宋体" w:eastAsia="宋体"/>
          <w:kern w:val="2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numPr>
          <w:ilvl w:val="1"/>
          <w:numId w:val="3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附录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规定了绵羊绒的试验方法。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jc w:val="left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 w:cstheme="minorBidi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黑体" w:eastAsia="黑体"/>
          <w:sz w:val="24"/>
          <w:szCs w:val="24"/>
        </w:rPr>
        <w:t>与国际、国外同类标准水平的对比情况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firstLine="484" w:firstLineChars="202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经查询国际、国外无同类标准。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440" w:lineRule="exact"/>
        <w:ind w:firstLine="484" w:firstLineChars="202"/>
        <w:textAlignment w:val="auto"/>
        <w:rPr>
          <w:rFonts w:hint="eastAsia"/>
          <w:sz w:val="24"/>
          <w:szCs w:val="24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jc w:val="left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 w:cstheme="minorBidi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黑体" w:eastAsia="黑体"/>
          <w:sz w:val="24"/>
          <w:szCs w:val="24"/>
        </w:rPr>
        <w:t>与有关标准的关系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4" w:firstLineChars="202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目前我国国家标准、行业标准与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本标准相关的主要有GB 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523-2013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《绵羊毛》，GB 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523-2013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《绵羊毛》中是对于土种绵羊毛自身指标的衡量判定，本标准是根据目前行业实际情况，以及未来对行业的发</w:t>
      </w:r>
      <w:r>
        <w:rPr>
          <w:rFonts w:hint="eastAsia" w:ascii="宋体" w:hAnsi="宋体"/>
          <w:sz w:val="24"/>
          <w:szCs w:val="24"/>
        </w:rPr>
        <w:t>展，促进毛绒发展多样化，增加经济增长点的目的，</w:t>
      </w:r>
      <w:r>
        <w:rPr>
          <w:rFonts w:hint="eastAsia" w:ascii="宋体" w:hAnsi="宋体"/>
          <w:sz w:val="24"/>
          <w:szCs w:val="24"/>
          <w:lang w:val="en-US" w:eastAsia="zh-CN"/>
        </w:rPr>
        <w:t>体现</w:t>
      </w:r>
      <w:r>
        <w:rPr>
          <w:rFonts w:hint="eastAsia" w:ascii="宋体" w:hAnsi="宋体"/>
          <w:sz w:val="24"/>
          <w:szCs w:val="24"/>
        </w:rPr>
        <w:t>分梳后的绵羊绒的品质，因此，本标准与上述标准不重复、不矛盾，与上述标准可配套使用。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4" w:firstLineChars="202"/>
        <w:textAlignment w:val="auto"/>
        <w:rPr>
          <w:rFonts w:hint="eastAsia" w:ascii="宋体" w:hAnsi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jc w:val="left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 w:cstheme="minorBidi"/>
          <w:kern w:val="2"/>
          <w:sz w:val="24"/>
          <w:szCs w:val="24"/>
          <w:lang w:val="en-US" w:eastAsia="zh-CN" w:bidi="ar-SA"/>
        </w:rPr>
        <w:t>七、</w:t>
      </w:r>
      <w:r>
        <w:rPr>
          <w:rFonts w:hint="eastAsia" w:ascii="黑体" w:eastAsia="黑体"/>
          <w:sz w:val="24"/>
          <w:szCs w:val="24"/>
        </w:rPr>
        <w:t>重大分歧意见的处理经过和依据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10" w:firstLineChars="171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10" w:firstLineChars="171"/>
        <w:textAlignment w:val="auto"/>
        <w:rPr>
          <w:rFonts w:hint="eastAsia" w:ascii="宋体" w:hAnsi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jc w:val="left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 w:cstheme="minorBidi"/>
          <w:kern w:val="2"/>
          <w:sz w:val="24"/>
          <w:szCs w:val="24"/>
          <w:lang w:val="en-US" w:eastAsia="zh-CN" w:bidi="ar-SA"/>
        </w:rPr>
        <w:t>八、</w:t>
      </w:r>
      <w:r>
        <w:rPr>
          <w:rFonts w:hint="eastAsia" w:ascii="黑体" w:eastAsia="黑体"/>
          <w:sz w:val="24"/>
          <w:szCs w:val="24"/>
        </w:rPr>
        <w:t>涉及国内外专利及处置情况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本标准不涉及专利等相关问题。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jc w:val="left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  <w:lang w:eastAsia="zh-CN"/>
        </w:rPr>
        <w:t>九、</w:t>
      </w:r>
      <w:r>
        <w:rPr>
          <w:rFonts w:hint="eastAsia" w:ascii="黑体" w:eastAsia="黑体"/>
          <w:sz w:val="24"/>
          <w:szCs w:val="24"/>
        </w:rPr>
        <w:t>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/>
          <w:sz w:val="24"/>
          <w:szCs w:val="24"/>
        </w:rPr>
        <w:t>本标准对</w:t>
      </w:r>
      <w:r>
        <w:rPr>
          <w:rFonts w:hint="eastAsia"/>
          <w:sz w:val="24"/>
          <w:szCs w:val="24"/>
          <w:lang w:val="en-US" w:eastAsia="zh-CN"/>
        </w:rPr>
        <w:t>绵羊绒</w:t>
      </w:r>
      <w:r>
        <w:rPr>
          <w:rFonts w:hint="eastAsia"/>
          <w:sz w:val="24"/>
          <w:szCs w:val="24"/>
        </w:rPr>
        <w:t>交易作了一般性的规定，标准发布实施后，建议供销总社组织省、市各级供销社及所属专业合作社进行示范实施，带动企业进行应用。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56BA4"/>
    <w:multiLevelType w:val="multilevel"/>
    <w:tmpl w:val="16556BA4"/>
    <w:lvl w:ilvl="0" w:tentative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EnclosedCircle"/>
      <w:lvlText w:val="%3"/>
      <w:lvlJc w:val="left"/>
      <w:pPr>
        <w:tabs>
          <w:tab w:val="left" w:pos="1200"/>
        </w:tabs>
        <w:ind w:left="120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3BBD4E27"/>
    <w:multiLevelType w:val="multilevel"/>
    <w:tmpl w:val="3BBD4E27"/>
    <w:lvl w:ilvl="0" w:tentative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EnclosedCircle"/>
      <w:lvlText w:val="%3"/>
      <w:lvlJc w:val="left"/>
      <w:pPr>
        <w:tabs>
          <w:tab w:val="left" w:pos="1200"/>
        </w:tabs>
        <w:ind w:left="120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3C8217B3"/>
    <w:multiLevelType w:val="multilevel"/>
    <w:tmpl w:val="3C8217B3"/>
    <w:lvl w:ilvl="0" w:tentative="0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OGVhMmM5MmEyYzk1NTg2MTU2MzEyNTFkOTU0OTQifQ=="/>
  </w:docVars>
  <w:rsids>
    <w:rsidRoot w:val="7E0F1443"/>
    <w:rsid w:val="7E0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customStyle="1" w:styleId="7">
    <w:name w:val="一级条标题"/>
    <w:next w:val="6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2024-05-23T01:48:00Z</dcterms:created>
  <dc:creator>lily</dc:creator>
  <cp:lastModifiedBy>lily</cp:lastModifiedBy>
  <dcterms:modified xsi:type="dcterms:W3CDTF">2024-05-23T01:50:37Z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59525E3E9BD744189F1670E8EBBB40E1</vt:lpwstr>
  </property>
</Properties>
</file>